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FF" w:rsidRPr="001F7BDA" w:rsidRDefault="00CC47FF" w:rsidP="001F7BDA">
      <w:pPr>
        <w:spacing w:after="0" w:line="240" w:lineRule="auto"/>
        <w:jc w:val="center"/>
        <w:rPr>
          <w:b/>
          <w:sz w:val="28"/>
        </w:rPr>
      </w:pPr>
      <w:r w:rsidRPr="001F7BDA">
        <w:rPr>
          <w:b/>
          <w:sz w:val="28"/>
        </w:rPr>
        <w:t>Cour des comptes - Sécurité sociale 2013 – septembre 2013</w:t>
      </w:r>
    </w:p>
    <w:p w:rsidR="00CC47FF" w:rsidRDefault="00CC47FF" w:rsidP="001F7BDA">
      <w:pPr>
        <w:spacing w:after="0" w:line="240" w:lineRule="auto"/>
      </w:pPr>
      <w:r>
        <w:t>La gestion par des mutuelles de l’assurance maladie obligatoire des agents publics - Productivité des mutuelles fonctionnaires</w:t>
      </w:r>
    </w:p>
    <w:p w:rsidR="00CC47FF" w:rsidRDefault="00CC47FF" w:rsidP="001F7BDA">
      <w:pPr>
        <w:spacing w:after="0" w:line="240" w:lineRule="auto"/>
      </w:pPr>
      <w:r w:rsidRPr="001F7BDA">
        <w:rPr>
          <w:b/>
        </w:rPr>
        <w:t>Une productivité inférieure à celle des caisses primaires</w:t>
      </w:r>
      <w:r>
        <w:t xml:space="preserve"> : La productivité au sein des mutuelles examinées, très variable, se révèle toujours inférieure à celle de la branche maladie : alors qu’un salarié de la mutuelle complémentaire de la ville de Paris gère 972 bénéficiaires, ce ratio s’élève à plus de 1 900 bénéficiaires pour les plus performantes des mutuelles contrôlées dans le cadre de cette enquête, mais le réseau de l’assurance maladie gère plus de 2 250 bénéficiaires par équivalent temps plein. </w:t>
      </w:r>
    </w:p>
    <w:p w:rsidR="00CC47FF" w:rsidRDefault="00CC47FF" w:rsidP="001F7BDA">
      <w:pPr>
        <w:spacing w:after="0" w:line="240" w:lineRule="auto"/>
      </w:pPr>
      <w:r w:rsidRPr="00207EE9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287.25pt;height:118.5pt;visibility:visible">
            <v:imagedata r:id="rId4" o:title=""/>
          </v:shape>
        </w:pict>
      </w:r>
    </w:p>
    <w:p w:rsidR="00CC47FF" w:rsidRDefault="00CC47FF" w:rsidP="001F7BDA">
      <w:pPr>
        <w:spacing w:after="0" w:line="240" w:lineRule="auto"/>
        <w:rPr>
          <w:b/>
        </w:rPr>
      </w:pPr>
      <w:r w:rsidRPr="00207EE9">
        <w:rPr>
          <w:noProof/>
          <w:lang w:eastAsia="fr-FR"/>
        </w:rPr>
        <w:pict>
          <v:shape id="Image 4" o:spid="_x0000_i1026" type="#_x0000_t75" style="width:262.5pt;height:161.25pt;visibility:visible">
            <v:imagedata r:id="rId5" o:title=""/>
          </v:shape>
        </w:pict>
      </w:r>
    </w:p>
    <w:p w:rsidR="00CC47FF" w:rsidRPr="00C109B5" w:rsidRDefault="00CC47FF" w:rsidP="001F7BDA">
      <w:pPr>
        <w:spacing w:after="0" w:line="240" w:lineRule="auto"/>
        <w:rPr>
          <w:sz w:val="24"/>
        </w:rPr>
      </w:pPr>
      <w:r w:rsidRPr="00C109B5">
        <w:rPr>
          <w:b/>
          <w:sz w:val="24"/>
        </w:rPr>
        <w:t>Un phénomène de démutualisation</w:t>
      </w:r>
      <w:r w:rsidRPr="00C109B5">
        <w:rPr>
          <w:sz w:val="24"/>
        </w:rPr>
        <w:t xml:space="preserve"> </w:t>
      </w:r>
    </w:p>
    <w:p w:rsidR="00CC47FF" w:rsidRDefault="00CC47FF" w:rsidP="001F7BDA">
      <w:pPr>
        <w:spacing w:after="0" w:line="240" w:lineRule="auto"/>
      </w:pPr>
      <w:r>
        <w:t xml:space="preserve">En quatre ans, la population protégée au titre du régime obligatoire seul a nettement augmenté dans trois mutuelles. Ainsi pour la mutuelle générale de l’éducation nationale et la mutuelle nationale des hospitaliers, la population couverte au titre du régime obligatoire seul a augmenté entre 2008 et 2011 respectivement de près de 12 % et de plus de 13 %. Toutefois, sur la même période, la part des assurés protégés par les mutuelles au titre du régime obligatoire choisissant de ne plus bénéficier de la complémentaire proposée par la mutuelle tend à s’accroître significativement. </w:t>
      </w:r>
    </w:p>
    <w:p w:rsidR="00CC47FF" w:rsidRDefault="00CC47FF" w:rsidP="001F7BDA">
      <w:pPr>
        <w:spacing w:after="0" w:line="240" w:lineRule="auto"/>
      </w:pPr>
      <w:r w:rsidRPr="00207EE9">
        <w:rPr>
          <w:noProof/>
          <w:lang w:eastAsia="fr-FR"/>
        </w:rPr>
        <w:pict>
          <v:shape id="Image 1" o:spid="_x0000_i1027" type="#_x0000_t75" style="width:317.25pt;height:133.5pt;visibility:visible">
            <v:imagedata r:id="rId6" o:title=""/>
          </v:shape>
        </w:pict>
      </w:r>
    </w:p>
    <w:p w:rsidR="00CC47FF" w:rsidRDefault="00CC47FF" w:rsidP="001F7BDA">
      <w:pPr>
        <w:spacing w:after="0" w:line="240" w:lineRule="auto"/>
      </w:pPr>
    </w:p>
    <w:p w:rsidR="00CC47FF" w:rsidRDefault="00CC47FF" w:rsidP="001F7BDA">
      <w:pPr>
        <w:spacing w:after="0" w:line="240" w:lineRule="auto"/>
        <w:rPr>
          <w:noProof/>
          <w:lang w:eastAsia="fr-FR"/>
        </w:rPr>
      </w:pPr>
    </w:p>
    <w:p w:rsidR="00CC47FF" w:rsidRPr="00C109B5" w:rsidRDefault="00CC47FF" w:rsidP="00C109B5">
      <w:pPr>
        <w:spacing w:after="0" w:line="240" w:lineRule="auto"/>
        <w:rPr>
          <w:b/>
        </w:rPr>
      </w:pPr>
      <w:r>
        <w:rPr>
          <w:b/>
        </w:rPr>
        <w:t xml:space="preserve">COUR DES COMPTES ET SENAT : </w:t>
      </w:r>
      <w:r w:rsidRPr="00C109B5">
        <w:rPr>
          <w:b/>
        </w:rPr>
        <w:t>ENQUÊTE SUR LA RÉPARTITION DU FINANCEMENT DES DÉPENSES DE MALADIE DEPUIS 1996 ET SUR LES TRANSFERTS OPÉRÉS ENTRE L’ASSURANCE MALADIE OBLIGATOIRE, LES ASSURANCES COMPLÉMENTAIRES ET LES MÉNAGES</w:t>
      </w:r>
    </w:p>
    <w:p w:rsidR="00CC47FF" w:rsidRDefault="00CC47FF" w:rsidP="001F7BDA">
      <w:pPr>
        <w:spacing w:after="0" w:line="240" w:lineRule="auto"/>
      </w:pPr>
      <w:hyperlink r:id="rId7" w:history="1">
        <w:r w:rsidRPr="0087463E">
          <w:rPr>
            <w:rStyle w:val="Hyperlink"/>
          </w:rPr>
          <w:t>http://www.ccomptes.fr/content/download/47480/1335577/version/1/file/rapport_repartition_financement_depenses_maladie_depuis_1996_transferts_operes_assurance_maladie_obligatoire_assurances_complementaires_menages.pdf</w:t>
        </w:r>
      </w:hyperlink>
    </w:p>
    <w:p w:rsidR="00CC47FF" w:rsidRDefault="00CC47FF" w:rsidP="001F7BDA">
      <w:pPr>
        <w:spacing w:after="0" w:line="240" w:lineRule="auto"/>
      </w:pPr>
    </w:p>
    <w:p w:rsidR="00CC47FF" w:rsidRDefault="00CC47FF" w:rsidP="001F7BDA">
      <w:pPr>
        <w:spacing w:after="0" w:line="240" w:lineRule="auto"/>
        <w:rPr>
          <w:b/>
        </w:rPr>
      </w:pPr>
      <w:r w:rsidRPr="00C109B5">
        <w:rPr>
          <w:b/>
        </w:rPr>
        <w:t>Répartition des financements selon les agrégats considérés en 2006</w:t>
      </w:r>
    </w:p>
    <w:p w:rsidR="00CC47FF" w:rsidRPr="00C109B5" w:rsidRDefault="00CC47FF" w:rsidP="00C109B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C109B5">
        <w:rPr>
          <w:rFonts w:ascii="Arial" w:hAnsi="Arial" w:cs="Arial"/>
          <w:color w:val="222222"/>
          <w:sz w:val="20"/>
          <w:szCs w:val="20"/>
          <w:lang w:eastAsia="fr-FR"/>
        </w:rPr>
        <w:br/>
      </w:r>
    </w:p>
    <w:tbl>
      <w:tblPr>
        <w:tblW w:w="9923" w:type="dxa"/>
        <w:tblCellSpacing w:w="0" w:type="dxa"/>
        <w:tblInd w:w="-477" w:type="dxa"/>
        <w:tblCellMar>
          <w:left w:w="0" w:type="dxa"/>
          <w:right w:w="0" w:type="dxa"/>
        </w:tblCellMar>
        <w:tblLook w:val="00A0"/>
      </w:tblPr>
      <w:tblGrid>
        <w:gridCol w:w="3781"/>
        <w:gridCol w:w="1321"/>
        <w:gridCol w:w="1182"/>
        <w:gridCol w:w="1173"/>
        <w:gridCol w:w="1165"/>
        <w:gridCol w:w="1441"/>
      </w:tblGrid>
      <w:tr w:rsidR="00CC47FF" w:rsidRPr="00DF1A2C" w:rsidTr="00C109B5">
        <w:trPr>
          <w:trHeight w:val="300"/>
          <w:tblCellSpacing w:w="0" w:type="dxa"/>
        </w:trPr>
        <w:tc>
          <w:tcPr>
            <w:tcW w:w="3741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nil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b/>
                <w:bCs/>
                <w:color w:val="222222"/>
                <w:szCs w:val="24"/>
                <w:lang w:eastAsia="fr-FR"/>
              </w:rPr>
              <w:t>Financeurs</w:t>
            </w:r>
          </w:p>
        </w:tc>
        <w:tc>
          <w:tcPr>
            <w:tcW w:w="1301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b/>
                <w:bCs/>
                <w:color w:val="222222"/>
                <w:szCs w:val="24"/>
                <w:lang w:eastAsia="fr-FR"/>
              </w:rPr>
              <w:t>AMO</w:t>
            </w:r>
          </w:p>
        </w:tc>
        <w:tc>
          <w:tcPr>
            <w:tcW w:w="1162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b/>
                <w:bCs/>
                <w:color w:val="222222"/>
                <w:szCs w:val="24"/>
                <w:lang w:eastAsia="fr-FR"/>
              </w:rPr>
              <w:t>AMC</w:t>
            </w:r>
          </w:p>
        </w:tc>
        <w:tc>
          <w:tcPr>
            <w:tcW w:w="1153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b/>
                <w:bCs/>
                <w:color w:val="222222"/>
                <w:szCs w:val="24"/>
                <w:lang w:eastAsia="fr-FR"/>
              </w:rPr>
              <w:t>Ménages</w:t>
            </w:r>
          </w:p>
        </w:tc>
        <w:tc>
          <w:tcPr>
            <w:tcW w:w="1145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b/>
                <w:bCs/>
                <w:color w:val="222222"/>
                <w:szCs w:val="24"/>
                <w:lang w:eastAsia="fr-FR"/>
              </w:rPr>
              <w:t>Autres</w:t>
            </w:r>
          </w:p>
        </w:tc>
        <w:tc>
          <w:tcPr>
            <w:tcW w:w="1421" w:type="dxa"/>
            <w:tcBorders>
              <w:top w:val="single" w:sz="8" w:space="0" w:color="92CDDC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b/>
                <w:bCs/>
                <w:color w:val="222222"/>
                <w:szCs w:val="24"/>
                <w:lang w:eastAsia="fr-FR"/>
              </w:rPr>
              <w:t>Total</w:t>
            </w:r>
          </w:p>
        </w:tc>
      </w:tr>
      <w:tr w:rsidR="00CC47FF" w:rsidRPr="00DF1A2C" w:rsidTr="00C109B5">
        <w:trPr>
          <w:trHeight w:val="300"/>
          <w:tblCellSpacing w:w="0" w:type="dxa"/>
        </w:trPr>
        <w:tc>
          <w:tcPr>
            <w:tcW w:w="3741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b/>
                <w:color w:val="222222"/>
                <w:szCs w:val="24"/>
                <w:lang w:eastAsia="fr-FR"/>
              </w:rPr>
              <w:t>C</w:t>
            </w:r>
            <w:r w:rsidRPr="00C109B5">
              <w:rPr>
                <w:rFonts w:ascii="Times New Roman" w:hAnsi="Times New Roman"/>
                <w:color w:val="222222"/>
                <w:sz w:val="20"/>
                <w:szCs w:val="24"/>
                <w:lang w:eastAsia="fr-FR"/>
              </w:rPr>
              <w:t xml:space="preserve">onsommation de </w:t>
            </w:r>
            <w:r w:rsidRPr="0003110C">
              <w:rPr>
                <w:rFonts w:ascii="Times New Roman" w:hAnsi="Times New Roman"/>
                <w:b/>
                <w:color w:val="222222"/>
                <w:szCs w:val="24"/>
                <w:lang w:eastAsia="fr-FR"/>
              </w:rPr>
              <w:t>S</w:t>
            </w:r>
            <w:r>
              <w:rPr>
                <w:rFonts w:ascii="Times New Roman" w:hAnsi="Times New Roman"/>
                <w:color w:val="222222"/>
                <w:sz w:val="20"/>
                <w:szCs w:val="24"/>
                <w:lang w:eastAsia="fr-FR"/>
              </w:rPr>
              <w:t xml:space="preserve">oins et </w:t>
            </w:r>
            <w:r w:rsidRPr="0003110C">
              <w:rPr>
                <w:rFonts w:ascii="Times New Roman" w:hAnsi="Times New Roman"/>
                <w:b/>
                <w:color w:val="222222"/>
                <w:szCs w:val="24"/>
                <w:lang w:eastAsia="fr-FR"/>
              </w:rPr>
              <w:t>B</w:t>
            </w:r>
            <w:r>
              <w:rPr>
                <w:rFonts w:ascii="Times New Roman" w:hAnsi="Times New Roman"/>
                <w:color w:val="222222"/>
                <w:sz w:val="20"/>
                <w:szCs w:val="24"/>
                <w:lang w:eastAsia="fr-FR"/>
              </w:rPr>
              <w:t xml:space="preserve">iens </w:t>
            </w:r>
            <w:r w:rsidRPr="0003110C">
              <w:rPr>
                <w:rFonts w:ascii="Times New Roman" w:hAnsi="Times New Roman"/>
                <w:b/>
                <w:color w:val="222222"/>
                <w:szCs w:val="24"/>
                <w:lang w:eastAsia="fr-FR"/>
              </w:rPr>
              <w:t>M</w:t>
            </w:r>
            <w:r w:rsidRPr="00C109B5">
              <w:rPr>
                <w:rFonts w:ascii="Times New Roman" w:hAnsi="Times New Roman"/>
                <w:color w:val="222222"/>
                <w:sz w:val="20"/>
                <w:szCs w:val="24"/>
                <w:lang w:eastAsia="fr-FR"/>
              </w:rPr>
              <w:t>édicaux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120 586 M€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20 436 M€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13 407 M€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2 136 M€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156 565 M€</w:t>
            </w:r>
          </w:p>
        </w:tc>
      </w:tr>
      <w:tr w:rsidR="00CC47FF" w:rsidRPr="00DF1A2C" w:rsidTr="00C109B5">
        <w:trPr>
          <w:trHeight w:val="300"/>
          <w:tblCellSpacing w:w="0" w:type="dxa"/>
        </w:trPr>
        <w:tc>
          <w:tcPr>
            <w:tcW w:w="3741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Parts dans la CSBM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77,02%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13,05%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8,56%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1,36%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100,00%</w:t>
            </w:r>
          </w:p>
        </w:tc>
      </w:tr>
      <w:tr w:rsidR="00CC47FF" w:rsidRPr="00DF1A2C" w:rsidTr="00C109B5">
        <w:trPr>
          <w:trHeight w:val="300"/>
          <w:tblCellSpacing w:w="0" w:type="dxa"/>
        </w:trPr>
        <w:tc>
          <w:tcPr>
            <w:tcW w:w="3741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D31B81">
              <w:rPr>
                <w:rFonts w:ascii="Times New Roman" w:hAnsi="Times New Roman"/>
                <w:b/>
                <w:color w:val="222222"/>
                <w:szCs w:val="24"/>
                <w:lang w:eastAsia="fr-FR"/>
              </w:rPr>
              <w:t>D</w:t>
            </w:r>
            <w:r>
              <w:rPr>
                <w:rFonts w:ascii="Times New Roman" w:hAnsi="Times New Roman"/>
                <w:color w:val="222222"/>
                <w:szCs w:val="24"/>
                <w:lang w:eastAsia="fr-FR"/>
              </w:rPr>
              <w:t xml:space="preserve">épense </w:t>
            </w:r>
            <w:r w:rsidRPr="00C109B5">
              <w:rPr>
                <w:rFonts w:ascii="Times New Roman" w:hAnsi="Times New Roman"/>
                <w:b/>
                <w:color w:val="222222"/>
                <w:szCs w:val="24"/>
                <w:lang w:eastAsia="fr-FR"/>
              </w:rPr>
              <w:t>C</w:t>
            </w:r>
            <w:r>
              <w:rPr>
                <w:rFonts w:ascii="Times New Roman" w:hAnsi="Times New Roman"/>
                <w:color w:val="222222"/>
                <w:szCs w:val="24"/>
                <w:lang w:eastAsia="fr-FR"/>
              </w:rPr>
              <w:t xml:space="preserve">ourante de </w:t>
            </w:r>
            <w:r w:rsidRPr="00C109B5">
              <w:rPr>
                <w:rFonts w:ascii="Times New Roman" w:hAnsi="Times New Roman"/>
                <w:b/>
                <w:color w:val="222222"/>
                <w:szCs w:val="24"/>
                <w:lang w:eastAsia="fr-FR"/>
              </w:rPr>
              <w:t>S</w:t>
            </w: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anté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146 932 M€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25 425 M€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13 459 M€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12 494 M€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198 309 M€</w:t>
            </w:r>
          </w:p>
        </w:tc>
      </w:tr>
      <w:tr w:rsidR="00CC47FF" w:rsidRPr="00DF1A2C" w:rsidTr="00C109B5">
        <w:trPr>
          <w:trHeight w:val="300"/>
          <w:tblCellSpacing w:w="0" w:type="dxa"/>
        </w:trPr>
        <w:tc>
          <w:tcPr>
            <w:tcW w:w="3741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Parts dans la DCS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74,09%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12,82%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6,79%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6,30%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47FF" w:rsidRPr="00C109B5" w:rsidRDefault="00CC47FF" w:rsidP="00C109B5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Cs w:val="24"/>
                <w:lang w:eastAsia="fr-FR"/>
              </w:rPr>
            </w:pPr>
            <w:r w:rsidRPr="00C109B5">
              <w:rPr>
                <w:rFonts w:ascii="Times New Roman" w:hAnsi="Times New Roman"/>
                <w:color w:val="222222"/>
                <w:szCs w:val="24"/>
                <w:lang w:eastAsia="fr-FR"/>
              </w:rPr>
              <w:t>100,00%</w:t>
            </w:r>
          </w:p>
        </w:tc>
      </w:tr>
    </w:tbl>
    <w:p w:rsidR="00CC47FF" w:rsidRPr="00C109B5" w:rsidRDefault="00CC47FF" w:rsidP="00C109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109B5">
        <w:rPr>
          <w:rFonts w:ascii="Arial" w:hAnsi="Arial" w:cs="Arial"/>
          <w:color w:val="222222"/>
          <w:sz w:val="20"/>
          <w:szCs w:val="20"/>
          <w:lang w:eastAsia="fr-FR"/>
        </w:rPr>
        <w:t> </w:t>
      </w:r>
    </w:p>
    <w:p w:rsidR="00CC47FF" w:rsidRPr="00C109B5" w:rsidRDefault="00CC47FF" w:rsidP="00C109B5">
      <w:pPr>
        <w:spacing w:after="0" w:line="240" w:lineRule="auto"/>
        <w:rPr>
          <w:b/>
        </w:rPr>
      </w:pPr>
      <w:r w:rsidRPr="0003110C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fr-FR"/>
        </w:rPr>
        <w:t>AMO</w:t>
      </w:r>
      <w:r w:rsidRPr="00C109B5">
        <w:rPr>
          <w:rFonts w:ascii="Arial" w:hAnsi="Arial" w:cs="Arial"/>
          <w:color w:val="222222"/>
          <w:sz w:val="20"/>
          <w:szCs w:val="20"/>
          <w:shd w:val="clear" w:color="auto" w:fill="FFFFFF"/>
          <w:lang w:eastAsia="fr-FR"/>
        </w:rPr>
        <w:t xml:space="preserve"> = Assurance Maladie Obligatoire</w:t>
      </w:r>
      <w:r w:rsidRPr="00C109B5">
        <w:rPr>
          <w:rFonts w:ascii="Arial" w:hAnsi="Arial" w:cs="Arial"/>
          <w:color w:val="222222"/>
          <w:sz w:val="20"/>
          <w:szCs w:val="20"/>
          <w:lang w:eastAsia="fr-FR"/>
        </w:rPr>
        <w:br/>
      </w:r>
      <w:bookmarkStart w:id="0" w:name="_GoBack"/>
      <w:r w:rsidRPr="0003110C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fr-FR"/>
        </w:rPr>
        <w:t>AMC</w:t>
      </w:r>
      <w:bookmarkEnd w:id="0"/>
      <w:r w:rsidRPr="00C109B5">
        <w:rPr>
          <w:rFonts w:ascii="Arial" w:hAnsi="Arial" w:cs="Arial"/>
          <w:color w:val="222222"/>
          <w:sz w:val="20"/>
          <w:szCs w:val="20"/>
          <w:shd w:val="clear" w:color="auto" w:fill="FFFFFF"/>
          <w:lang w:eastAsia="fr-FR"/>
        </w:rPr>
        <w:t xml:space="preserve"> = Assurance Maladie Complémentaire</w:t>
      </w:r>
      <w:r>
        <w:rPr>
          <w:rFonts w:ascii="Arial" w:hAnsi="Arial" w:cs="Arial"/>
          <w:color w:val="222222"/>
          <w:sz w:val="20"/>
          <w:szCs w:val="20"/>
          <w:lang w:eastAsia="fr-FR"/>
        </w:rPr>
        <w:br/>
      </w:r>
    </w:p>
    <w:p w:rsidR="00CC47FF" w:rsidRDefault="00CC47FF" w:rsidP="001F7BDA">
      <w:pPr>
        <w:spacing w:after="0" w:line="240" w:lineRule="auto"/>
      </w:pPr>
    </w:p>
    <w:p w:rsidR="00CC47FF" w:rsidRDefault="00CC47FF"/>
    <w:p w:rsidR="00CC47FF" w:rsidRDefault="00CC47FF"/>
    <w:p w:rsidR="00CC47FF" w:rsidRDefault="00CC47FF"/>
    <w:sectPr w:rsidR="00CC47FF" w:rsidSect="00EF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92"/>
    <w:rsid w:val="0000748C"/>
    <w:rsid w:val="0003110C"/>
    <w:rsid w:val="001F7BDA"/>
    <w:rsid w:val="00207EE9"/>
    <w:rsid w:val="007211B7"/>
    <w:rsid w:val="0087463E"/>
    <w:rsid w:val="00B37093"/>
    <w:rsid w:val="00C109B5"/>
    <w:rsid w:val="00C87492"/>
    <w:rsid w:val="00CC47FF"/>
    <w:rsid w:val="00D07DF1"/>
    <w:rsid w:val="00D31B81"/>
    <w:rsid w:val="00D63DA7"/>
    <w:rsid w:val="00DF1A2C"/>
    <w:rsid w:val="00E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09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omptes.fr/content/download/47480/1335577/version/1/file/rapport_repartition_financement_depenses_maladie_depuis_1996_transferts_operes_assurance_maladie_obligatoire_assurances_complementaires_menag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379</Words>
  <Characters>2085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 des comptes - Sécurité sociale 2013 – septembre 2013</dc:title>
  <dc:subject/>
  <dc:creator>dk</dc:creator>
  <cp:keywords/>
  <dc:description/>
  <cp:lastModifiedBy>Bernard</cp:lastModifiedBy>
  <cp:revision>2</cp:revision>
  <dcterms:created xsi:type="dcterms:W3CDTF">2014-07-28T13:25:00Z</dcterms:created>
  <dcterms:modified xsi:type="dcterms:W3CDTF">2014-07-28T13:25:00Z</dcterms:modified>
</cp:coreProperties>
</file>